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FB7" w:rsidRDefault="00E9601F" w:rsidP="00672FB7">
      <w:pPr>
        <w:pStyle w:val="Ttulo"/>
        <w:spacing w:after="120"/>
      </w:pPr>
      <w:r w:rsidRPr="00E9601F">
        <w:t>Guía de lectura</w:t>
      </w:r>
    </w:p>
    <w:p w:rsidR="00672FB7" w:rsidRPr="00672FB7" w:rsidRDefault="00672FB7" w:rsidP="00D747C1">
      <w:pPr>
        <w:jc w:val="both"/>
        <w:rPr>
          <w:rFonts w:ascii="Verdana" w:hAnsi="Verdana"/>
          <w:sz w:val="18"/>
        </w:rPr>
      </w:pPr>
    </w:p>
    <w:tbl>
      <w:tblPr>
        <w:tblStyle w:val="Tablaconcuadrcula"/>
        <w:tblW w:w="5021" w:type="pct"/>
        <w:tblLook w:val="04A0" w:firstRow="1" w:lastRow="0" w:firstColumn="1" w:lastColumn="0" w:noHBand="0" w:noVBand="1"/>
      </w:tblPr>
      <w:tblGrid>
        <w:gridCol w:w="2513"/>
        <w:gridCol w:w="4998"/>
        <w:gridCol w:w="610"/>
        <w:gridCol w:w="1656"/>
      </w:tblGrid>
      <w:tr w:rsidR="00672FB7" w:rsidRPr="00697D24" w:rsidTr="00672FB7">
        <w:tc>
          <w:tcPr>
            <w:tcW w:w="1285" w:type="pct"/>
            <w:shd w:val="clear" w:color="auto" w:fill="D9D9D9" w:themeFill="background1" w:themeFillShade="D9"/>
            <w:vAlign w:val="center"/>
          </w:tcPr>
          <w:p w:rsidR="005A2109" w:rsidRPr="005A2109" w:rsidRDefault="005A2109" w:rsidP="005A2109">
            <w:pPr>
              <w:spacing w:before="60" w:after="60" w:line="264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S</w:t>
            </w:r>
            <w:r w:rsidRPr="005A2109">
              <w:rPr>
                <w:rFonts w:ascii="Verdana" w:hAnsi="Verdana"/>
                <w:b/>
                <w:sz w:val="18"/>
                <w:szCs w:val="20"/>
              </w:rPr>
              <w:t>eminario</w:t>
            </w:r>
          </w:p>
        </w:tc>
        <w:tc>
          <w:tcPr>
            <w:tcW w:w="2556" w:type="pct"/>
            <w:shd w:val="clear" w:color="auto" w:fill="F2F2F2" w:themeFill="background1" w:themeFillShade="F2"/>
            <w:vAlign w:val="center"/>
          </w:tcPr>
          <w:p w:rsidR="005A2109" w:rsidRPr="005A2109" w:rsidRDefault="00B37D14" w:rsidP="005A2109">
            <w:pPr>
              <w:spacing w:before="60" w:after="60" w:line="264" w:lineRule="auto"/>
              <w:rPr>
                <w:rFonts w:ascii="Verdana" w:hAnsi="Verdana"/>
                <w:b/>
                <w:sz w:val="20"/>
                <w:szCs w:val="20"/>
              </w:rPr>
            </w:pPr>
            <w:r w:rsidRPr="00B37D14">
              <w:rPr>
                <w:rFonts w:ascii="Verdana" w:hAnsi="Verdana"/>
                <w:b/>
                <w:sz w:val="20"/>
                <w:szCs w:val="20"/>
              </w:rPr>
              <w:t xml:space="preserve">El auge del fascismo en Europa: claves para su comprensión II 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5A2109" w:rsidRPr="005A2109" w:rsidRDefault="005A2109" w:rsidP="005A2109">
            <w:pPr>
              <w:spacing w:before="60" w:after="60" w:line="264" w:lineRule="auto"/>
              <w:rPr>
                <w:rFonts w:ascii="Verdana" w:hAnsi="Verdana"/>
                <w:b/>
                <w:sz w:val="18"/>
                <w:szCs w:val="20"/>
              </w:rPr>
            </w:pPr>
            <w:r w:rsidRPr="005A2109">
              <w:rPr>
                <w:rFonts w:ascii="Verdana" w:hAnsi="Verdana"/>
                <w:b/>
                <w:sz w:val="18"/>
                <w:szCs w:val="20"/>
              </w:rPr>
              <w:t>Nº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:rsidR="005A2109" w:rsidRPr="00F249ED" w:rsidRDefault="00D862D6" w:rsidP="00672FB7">
            <w:pPr>
              <w:spacing w:before="60" w:after="60" w:line="264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4"/>
              </w:rPr>
              <w:t>3</w:t>
            </w:r>
          </w:p>
        </w:tc>
      </w:tr>
      <w:tr w:rsidR="005A2109" w:rsidRPr="00697D24" w:rsidTr="00672FB7">
        <w:tc>
          <w:tcPr>
            <w:tcW w:w="1285" w:type="pct"/>
            <w:shd w:val="clear" w:color="auto" w:fill="D9D9D9" w:themeFill="background1" w:themeFillShade="D9"/>
            <w:vAlign w:val="center"/>
          </w:tcPr>
          <w:p w:rsidR="005A2109" w:rsidRPr="005A2109" w:rsidRDefault="005A2109" w:rsidP="005A2109">
            <w:pPr>
              <w:spacing w:before="60" w:after="60" w:line="264" w:lineRule="auto"/>
              <w:rPr>
                <w:rFonts w:ascii="Verdana" w:hAnsi="Verdana"/>
                <w:b/>
                <w:sz w:val="18"/>
                <w:szCs w:val="20"/>
              </w:rPr>
            </w:pPr>
            <w:r w:rsidRPr="005A2109">
              <w:rPr>
                <w:rFonts w:ascii="Verdana" w:hAnsi="Verdana"/>
                <w:b/>
                <w:sz w:val="18"/>
                <w:szCs w:val="20"/>
              </w:rPr>
              <w:t>Lectura</w:t>
            </w:r>
            <w:r w:rsidR="00F249ED">
              <w:rPr>
                <w:rFonts w:ascii="Verdana" w:hAnsi="Verdana"/>
                <w:b/>
                <w:sz w:val="18"/>
                <w:szCs w:val="20"/>
              </w:rPr>
              <w:t>s</w:t>
            </w:r>
          </w:p>
          <w:p w:rsidR="005A2109" w:rsidRPr="005A2109" w:rsidRDefault="005A2109" w:rsidP="005A2109">
            <w:pPr>
              <w:spacing w:before="60" w:after="60" w:line="264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715" w:type="pct"/>
            <w:gridSpan w:val="3"/>
            <w:shd w:val="clear" w:color="auto" w:fill="F2F2F2" w:themeFill="background1" w:themeFillShade="F2"/>
            <w:vAlign w:val="center"/>
          </w:tcPr>
          <w:p w:rsidR="005A2109" w:rsidRDefault="00F249ED" w:rsidP="005A2109">
            <w:pPr>
              <w:spacing w:before="60" w:after="60" w:line="264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Rendueles, César (2020). </w:t>
            </w:r>
            <w:r w:rsidRPr="00F249ED">
              <w:rPr>
                <w:rFonts w:ascii="Verdana" w:hAnsi="Verdana"/>
                <w:i/>
                <w:iCs/>
                <w:sz w:val="20"/>
                <w:szCs w:val="20"/>
              </w:rPr>
              <w:t>Contra la igualdad de oportunidades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Seix Barral. [Extractos]</w:t>
            </w:r>
          </w:p>
          <w:p w:rsidR="00F249ED" w:rsidRPr="00F249ED" w:rsidRDefault="00F249ED" w:rsidP="00F249ED">
            <w:pPr>
              <w:spacing w:before="60" w:after="60" w:line="264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Rimbert, Pierre (2020). “</w:t>
            </w:r>
            <w:r w:rsidRPr="00F249ED">
              <w:rPr>
                <w:rFonts w:ascii="Verdana" w:hAnsi="Verdana"/>
                <w:sz w:val="20"/>
                <w:szCs w:val="20"/>
              </w:rPr>
              <w:t>La burguesía intelectual, una</w:t>
            </w:r>
          </w:p>
          <w:p w:rsidR="00F249ED" w:rsidRPr="00F249ED" w:rsidRDefault="00F249ED" w:rsidP="00F249ED">
            <w:pPr>
              <w:spacing w:before="60" w:after="60" w:line="264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249ED">
              <w:rPr>
                <w:rFonts w:ascii="Verdana" w:hAnsi="Verdana"/>
                <w:sz w:val="20"/>
                <w:szCs w:val="20"/>
              </w:rPr>
              <w:t>elite hereditaria</w:t>
            </w:r>
            <w:r>
              <w:rPr>
                <w:rFonts w:ascii="Verdana" w:hAnsi="Verdana"/>
                <w:sz w:val="20"/>
                <w:szCs w:val="20"/>
              </w:rPr>
              <w:t xml:space="preserve">”,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Le Monde Diplomatique </w:t>
            </w:r>
            <w:r>
              <w:rPr>
                <w:rFonts w:ascii="Verdana" w:hAnsi="Verdana"/>
                <w:sz w:val="20"/>
                <w:szCs w:val="20"/>
              </w:rPr>
              <w:t xml:space="preserve">(edición española), </w:t>
            </w:r>
            <w:r w:rsidR="00D862D6">
              <w:rPr>
                <w:rFonts w:ascii="Verdana" w:hAnsi="Verdana"/>
                <w:sz w:val="20"/>
                <w:szCs w:val="20"/>
              </w:rPr>
              <w:t>nº 298, agosto.</w:t>
            </w:r>
          </w:p>
        </w:tc>
      </w:tr>
      <w:tr w:rsidR="005A2109" w:rsidRPr="00697D24" w:rsidTr="00672FB7">
        <w:tc>
          <w:tcPr>
            <w:tcW w:w="1285" w:type="pct"/>
            <w:shd w:val="clear" w:color="auto" w:fill="D9D9D9" w:themeFill="background1" w:themeFillShade="D9"/>
            <w:vAlign w:val="center"/>
          </w:tcPr>
          <w:p w:rsidR="005A2109" w:rsidRPr="005A2109" w:rsidRDefault="005A2109" w:rsidP="005A2109">
            <w:pPr>
              <w:spacing w:before="60" w:after="60" w:line="264" w:lineRule="auto"/>
              <w:rPr>
                <w:rFonts w:ascii="Verdana" w:hAnsi="Verdana"/>
                <w:b/>
                <w:sz w:val="18"/>
                <w:szCs w:val="20"/>
              </w:rPr>
            </w:pPr>
            <w:r w:rsidRPr="005A2109">
              <w:rPr>
                <w:rFonts w:ascii="Verdana" w:hAnsi="Verdana"/>
                <w:b/>
                <w:sz w:val="18"/>
                <w:szCs w:val="20"/>
              </w:rPr>
              <w:t>Tema central del texto leído</w:t>
            </w:r>
          </w:p>
        </w:tc>
        <w:tc>
          <w:tcPr>
            <w:tcW w:w="3715" w:type="pct"/>
            <w:gridSpan w:val="3"/>
            <w:vAlign w:val="center"/>
          </w:tcPr>
          <w:p w:rsidR="00672FB7" w:rsidRPr="00697D24" w:rsidRDefault="00F249ED" w:rsidP="00672FB7">
            <w:pPr>
              <w:spacing w:before="60" w:after="60" w:line="264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relación entre desigualdad y el ascenso de la extrema derecha</w:t>
            </w:r>
          </w:p>
        </w:tc>
      </w:tr>
      <w:tr w:rsidR="005A2109" w:rsidRPr="00697D24" w:rsidTr="00672FB7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5A2109" w:rsidRPr="00F249ED" w:rsidRDefault="005A2109" w:rsidP="005A2109">
            <w:pPr>
              <w:spacing w:before="60" w:after="60" w:line="264" w:lineRule="auto"/>
              <w:rPr>
                <w:rFonts w:ascii="Verdana" w:hAnsi="Verdana"/>
                <w:b/>
                <w:sz w:val="18"/>
                <w:szCs w:val="20"/>
              </w:rPr>
            </w:pPr>
            <w:r w:rsidRPr="005A2109">
              <w:rPr>
                <w:rFonts w:ascii="Verdana" w:hAnsi="Verdana"/>
                <w:b/>
                <w:sz w:val="18"/>
                <w:szCs w:val="20"/>
              </w:rPr>
              <w:t>Preguntas para la reflexión</w:t>
            </w:r>
          </w:p>
        </w:tc>
      </w:tr>
      <w:tr w:rsidR="005A2109" w:rsidRPr="00697D24" w:rsidTr="00672FB7">
        <w:tc>
          <w:tcPr>
            <w:tcW w:w="1285" w:type="pct"/>
            <w:shd w:val="clear" w:color="auto" w:fill="D9D9D9" w:themeFill="background1" w:themeFillShade="D9"/>
            <w:vAlign w:val="center"/>
          </w:tcPr>
          <w:p w:rsidR="005A2109" w:rsidRPr="005A2109" w:rsidRDefault="00F249ED" w:rsidP="005A2109">
            <w:pPr>
              <w:pStyle w:val="Prrafodelista"/>
              <w:numPr>
                <w:ilvl w:val="0"/>
                <w:numId w:val="1"/>
              </w:numPr>
              <w:spacing w:before="60" w:after="60" w:line="264" w:lineRule="auto"/>
              <w:ind w:left="318" w:hanging="284"/>
              <w:rPr>
                <w:rFonts w:ascii="Verdana" w:hAnsi="Verdana"/>
                <w:sz w:val="18"/>
                <w:szCs w:val="20"/>
              </w:rPr>
            </w:pPr>
            <w:r w:rsidRPr="00F249ED">
              <w:rPr>
                <w:rFonts w:ascii="Verdana" w:hAnsi="Verdana"/>
                <w:sz w:val="20"/>
                <w:szCs w:val="20"/>
              </w:rPr>
              <w:t>¿Qué efectos tiene la desigualdad?</w:t>
            </w:r>
          </w:p>
        </w:tc>
        <w:tc>
          <w:tcPr>
            <w:tcW w:w="3715" w:type="pct"/>
            <w:gridSpan w:val="3"/>
            <w:vAlign w:val="center"/>
          </w:tcPr>
          <w:p w:rsidR="005A2109" w:rsidRDefault="005A2109" w:rsidP="005A2109">
            <w:pPr>
              <w:spacing w:before="60" w:after="60" w:line="264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A2109" w:rsidRPr="00697D24" w:rsidTr="00672FB7">
        <w:tc>
          <w:tcPr>
            <w:tcW w:w="1285" w:type="pct"/>
            <w:shd w:val="clear" w:color="auto" w:fill="D9D9D9" w:themeFill="background1" w:themeFillShade="D9"/>
            <w:vAlign w:val="center"/>
          </w:tcPr>
          <w:p w:rsidR="005A2109" w:rsidRPr="005A2109" w:rsidRDefault="00F249ED" w:rsidP="005A2109">
            <w:pPr>
              <w:pStyle w:val="Prrafodelista"/>
              <w:numPr>
                <w:ilvl w:val="0"/>
                <w:numId w:val="1"/>
              </w:numPr>
              <w:spacing w:before="60" w:after="60" w:line="264" w:lineRule="auto"/>
              <w:ind w:left="318" w:hanging="284"/>
              <w:rPr>
                <w:rFonts w:ascii="Verdana" w:hAnsi="Verdana"/>
                <w:sz w:val="18"/>
                <w:szCs w:val="20"/>
              </w:rPr>
            </w:pPr>
            <w:r w:rsidRPr="00F249ED">
              <w:rPr>
                <w:rFonts w:ascii="Verdana" w:hAnsi="Verdana"/>
                <w:sz w:val="20"/>
                <w:szCs w:val="20"/>
              </w:rPr>
              <w:t>¿Es la desigualdad beneficiosa o perniciosa socialmente? ¿Por qué?</w:t>
            </w:r>
          </w:p>
        </w:tc>
        <w:tc>
          <w:tcPr>
            <w:tcW w:w="3715" w:type="pct"/>
            <w:gridSpan w:val="3"/>
            <w:vAlign w:val="center"/>
          </w:tcPr>
          <w:p w:rsidR="005A2109" w:rsidRDefault="005A2109" w:rsidP="005A2109">
            <w:pPr>
              <w:spacing w:before="60" w:after="60" w:line="264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A2109" w:rsidRPr="00697D24" w:rsidTr="00672FB7">
        <w:tc>
          <w:tcPr>
            <w:tcW w:w="1285" w:type="pct"/>
            <w:shd w:val="clear" w:color="auto" w:fill="D9D9D9" w:themeFill="background1" w:themeFillShade="D9"/>
            <w:vAlign w:val="center"/>
          </w:tcPr>
          <w:p w:rsidR="005A2109" w:rsidRPr="005A2109" w:rsidRDefault="00F249ED" w:rsidP="005A2109">
            <w:pPr>
              <w:pStyle w:val="Prrafodelista"/>
              <w:numPr>
                <w:ilvl w:val="0"/>
                <w:numId w:val="1"/>
              </w:numPr>
              <w:spacing w:before="60" w:after="60" w:line="264" w:lineRule="auto"/>
              <w:ind w:left="318" w:hanging="284"/>
              <w:rPr>
                <w:rFonts w:ascii="Verdana" w:hAnsi="Verdana"/>
                <w:b/>
                <w:sz w:val="18"/>
                <w:szCs w:val="20"/>
              </w:rPr>
            </w:pPr>
            <w:r w:rsidRPr="00F249ED">
              <w:rPr>
                <w:rFonts w:ascii="Verdana" w:hAnsi="Verdana"/>
                <w:sz w:val="20"/>
                <w:szCs w:val="20"/>
              </w:rPr>
              <w:t>¿Cómo ha evolucionado la desigualdad desde la II Guerra Mundial?</w:t>
            </w:r>
          </w:p>
        </w:tc>
        <w:tc>
          <w:tcPr>
            <w:tcW w:w="3715" w:type="pct"/>
            <w:gridSpan w:val="3"/>
            <w:vAlign w:val="center"/>
          </w:tcPr>
          <w:p w:rsidR="005A2109" w:rsidRDefault="005A2109" w:rsidP="005A2109">
            <w:pPr>
              <w:spacing w:before="60" w:after="60" w:line="264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A2109" w:rsidRPr="00697D24" w:rsidTr="00672FB7">
        <w:tc>
          <w:tcPr>
            <w:tcW w:w="1285" w:type="pct"/>
            <w:shd w:val="clear" w:color="auto" w:fill="D9D9D9" w:themeFill="background1" w:themeFillShade="D9"/>
            <w:vAlign w:val="center"/>
          </w:tcPr>
          <w:p w:rsidR="005A2109" w:rsidRPr="005A2109" w:rsidRDefault="00F249ED" w:rsidP="005A2109">
            <w:pPr>
              <w:pStyle w:val="Prrafodelista"/>
              <w:numPr>
                <w:ilvl w:val="0"/>
                <w:numId w:val="1"/>
              </w:numPr>
              <w:spacing w:before="60" w:after="60" w:line="264" w:lineRule="auto"/>
              <w:ind w:left="318" w:hanging="284"/>
              <w:rPr>
                <w:rFonts w:ascii="Verdana" w:hAnsi="Verdana"/>
                <w:b/>
                <w:sz w:val="18"/>
                <w:szCs w:val="20"/>
              </w:rPr>
            </w:pPr>
            <w:r w:rsidRPr="00F249ED">
              <w:rPr>
                <w:rFonts w:ascii="Verdana" w:hAnsi="Verdana"/>
                <w:sz w:val="20"/>
                <w:szCs w:val="20"/>
              </w:rPr>
              <w:t>¿Qué es la meritocracia y cómo ha influido en la organización de nuestras sociedades?</w:t>
            </w:r>
          </w:p>
        </w:tc>
        <w:tc>
          <w:tcPr>
            <w:tcW w:w="3715" w:type="pct"/>
            <w:gridSpan w:val="3"/>
            <w:vAlign w:val="center"/>
          </w:tcPr>
          <w:p w:rsidR="005A2109" w:rsidRDefault="005A2109" w:rsidP="005A2109">
            <w:pPr>
              <w:spacing w:before="60" w:after="60" w:line="264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A2109" w:rsidRPr="00697D24" w:rsidTr="00672FB7">
        <w:tc>
          <w:tcPr>
            <w:tcW w:w="1285" w:type="pct"/>
            <w:shd w:val="clear" w:color="auto" w:fill="D9D9D9" w:themeFill="background1" w:themeFillShade="D9"/>
            <w:vAlign w:val="center"/>
          </w:tcPr>
          <w:p w:rsidR="005A2109" w:rsidRPr="005A2109" w:rsidRDefault="00F249ED" w:rsidP="005A2109">
            <w:pPr>
              <w:pStyle w:val="Prrafodelista"/>
              <w:numPr>
                <w:ilvl w:val="0"/>
                <w:numId w:val="1"/>
              </w:numPr>
              <w:spacing w:before="60" w:after="60" w:line="264" w:lineRule="auto"/>
              <w:ind w:left="318" w:hanging="284"/>
              <w:rPr>
                <w:rFonts w:ascii="Verdana" w:hAnsi="Verdana"/>
                <w:b/>
                <w:sz w:val="18"/>
                <w:szCs w:val="20"/>
              </w:rPr>
            </w:pPr>
            <w:r w:rsidRPr="00F249ED">
              <w:rPr>
                <w:rFonts w:ascii="Verdana" w:hAnsi="Verdana"/>
                <w:sz w:val="20"/>
                <w:szCs w:val="20"/>
              </w:rPr>
              <w:t>¿Qué vínculos hay entre la desigualdad y el ascenso de la extrema derecha?</w:t>
            </w:r>
          </w:p>
        </w:tc>
        <w:tc>
          <w:tcPr>
            <w:tcW w:w="3715" w:type="pct"/>
            <w:gridSpan w:val="3"/>
            <w:vAlign w:val="center"/>
          </w:tcPr>
          <w:p w:rsidR="005A2109" w:rsidRDefault="005A2109" w:rsidP="005A2109">
            <w:pPr>
              <w:spacing w:before="60" w:after="60" w:line="264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A2109" w:rsidRPr="00697D24" w:rsidTr="00672FB7">
        <w:tc>
          <w:tcPr>
            <w:tcW w:w="1285" w:type="pct"/>
            <w:shd w:val="clear" w:color="auto" w:fill="D9D9D9" w:themeFill="background1" w:themeFillShade="D9"/>
            <w:vAlign w:val="center"/>
          </w:tcPr>
          <w:p w:rsidR="005A2109" w:rsidRPr="005A2109" w:rsidRDefault="00F249ED" w:rsidP="005A2109">
            <w:pPr>
              <w:pStyle w:val="Prrafodelista"/>
              <w:numPr>
                <w:ilvl w:val="0"/>
                <w:numId w:val="1"/>
              </w:numPr>
              <w:spacing w:before="60" w:after="60" w:line="264" w:lineRule="auto"/>
              <w:ind w:left="318" w:hanging="284"/>
              <w:rPr>
                <w:rFonts w:ascii="Verdana" w:hAnsi="Verdana"/>
                <w:b/>
                <w:sz w:val="18"/>
                <w:szCs w:val="20"/>
              </w:rPr>
            </w:pPr>
            <w:r w:rsidRPr="00F249ED">
              <w:rPr>
                <w:rFonts w:ascii="Verdana" w:hAnsi="Verdana"/>
                <w:sz w:val="20"/>
                <w:szCs w:val="20"/>
              </w:rPr>
              <w:t xml:space="preserve">¿Qué papel han desempeñado los partidos, de derecha y de izquierda, en el </w:t>
            </w:r>
            <w:r w:rsidRPr="00F249ED">
              <w:rPr>
                <w:rFonts w:ascii="Verdana" w:hAnsi="Verdana"/>
                <w:sz w:val="20"/>
                <w:szCs w:val="20"/>
              </w:rPr>
              <w:lastRenderedPageBreak/>
              <w:t>ascenso de la extrema derecha?</w:t>
            </w:r>
          </w:p>
        </w:tc>
        <w:tc>
          <w:tcPr>
            <w:tcW w:w="3715" w:type="pct"/>
            <w:gridSpan w:val="3"/>
            <w:vAlign w:val="center"/>
          </w:tcPr>
          <w:p w:rsidR="005A2109" w:rsidRDefault="005A2109" w:rsidP="005A2109">
            <w:pPr>
              <w:spacing w:before="60" w:after="60" w:line="264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C0C72" w:rsidRPr="00697D24" w:rsidTr="00672FB7">
        <w:tc>
          <w:tcPr>
            <w:tcW w:w="1285" w:type="pct"/>
            <w:shd w:val="clear" w:color="auto" w:fill="D9D9D9" w:themeFill="background1" w:themeFillShade="D9"/>
            <w:vAlign w:val="center"/>
          </w:tcPr>
          <w:p w:rsidR="008C0C72" w:rsidRPr="00F249ED" w:rsidRDefault="008C0C72" w:rsidP="005A2109">
            <w:pPr>
              <w:pStyle w:val="Prrafodelista"/>
              <w:numPr>
                <w:ilvl w:val="0"/>
                <w:numId w:val="1"/>
              </w:numPr>
              <w:spacing w:before="60" w:after="60" w:line="264" w:lineRule="auto"/>
              <w:ind w:left="31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Teniendo en cuenta su contexto histórico: ¿cómo explicar el éxito electoral 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de Demócratas de Suecia (extrema derecha)?</w:t>
            </w:r>
          </w:p>
        </w:tc>
        <w:tc>
          <w:tcPr>
            <w:tcW w:w="3715" w:type="pct"/>
            <w:gridSpan w:val="3"/>
            <w:vAlign w:val="center"/>
          </w:tcPr>
          <w:p w:rsidR="008C0C72" w:rsidRDefault="008C0C72" w:rsidP="005A2109">
            <w:pPr>
              <w:spacing w:before="60" w:after="60" w:line="264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A2109" w:rsidRPr="00697D24" w:rsidTr="00672FB7">
        <w:tc>
          <w:tcPr>
            <w:tcW w:w="1285" w:type="pct"/>
            <w:shd w:val="clear" w:color="auto" w:fill="D9D9D9" w:themeFill="background1" w:themeFillShade="D9"/>
            <w:vAlign w:val="center"/>
          </w:tcPr>
          <w:p w:rsidR="005A2109" w:rsidRPr="005A2109" w:rsidRDefault="005A2109" w:rsidP="005A2109">
            <w:pPr>
              <w:spacing w:before="60" w:after="60" w:line="264" w:lineRule="auto"/>
              <w:rPr>
                <w:rFonts w:ascii="Verdana" w:hAnsi="Verdana"/>
                <w:b/>
                <w:sz w:val="18"/>
                <w:szCs w:val="20"/>
              </w:rPr>
            </w:pPr>
            <w:r w:rsidRPr="005A2109">
              <w:rPr>
                <w:rFonts w:ascii="Verdana" w:hAnsi="Verdana"/>
                <w:b/>
                <w:sz w:val="18"/>
                <w:szCs w:val="20"/>
              </w:rPr>
              <w:t xml:space="preserve">Comentarios adicionales </w:t>
            </w:r>
          </w:p>
          <w:p w:rsidR="005A2109" w:rsidRPr="005A2109" w:rsidRDefault="005A2109" w:rsidP="005A2109">
            <w:pPr>
              <w:spacing w:before="60" w:after="60" w:line="264" w:lineRule="auto"/>
              <w:rPr>
                <w:rFonts w:ascii="Verdana" w:hAnsi="Verdana"/>
                <w:sz w:val="18"/>
                <w:szCs w:val="20"/>
              </w:rPr>
            </w:pPr>
            <w:r w:rsidRPr="005A2109">
              <w:rPr>
                <w:rFonts w:ascii="Verdana" w:hAnsi="Verdana"/>
                <w:sz w:val="18"/>
                <w:szCs w:val="20"/>
              </w:rPr>
              <w:t>Añade libremente los comentarios que consideres de interés en relación a los objetivos del seminario.</w:t>
            </w:r>
          </w:p>
        </w:tc>
        <w:tc>
          <w:tcPr>
            <w:tcW w:w="3715" w:type="pct"/>
            <w:gridSpan w:val="3"/>
            <w:vAlign w:val="center"/>
          </w:tcPr>
          <w:p w:rsidR="005A2109" w:rsidRPr="001D2E68" w:rsidRDefault="005A2109" w:rsidP="005A2109">
            <w:pPr>
              <w:spacing w:before="60" w:after="60" w:line="264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72FB7" w:rsidRPr="00E9601F" w:rsidRDefault="00672FB7" w:rsidP="00E9601F">
      <w:pPr>
        <w:rPr>
          <w:b/>
        </w:rPr>
      </w:pPr>
    </w:p>
    <w:sectPr w:rsidR="00672FB7" w:rsidRPr="00E9601F" w:rsidSect="00672FB7">
      <w:headerReference w:type="default" r:id="rId7"/>
      <w:footerReference w:type="default" r:id="rId8"/>
      <w:pgSz w:w="11906" w:h="16838"/>
      <w:pgMar w:top="1440" w:right="1080" w:bottom="1440" w:left="1080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B95" w:rsidRDefault="00AB5B95" w:rsidP="004B636C">
      <w:pPr>
        <w:spacing w:after="0" w:line="240" w:lineRule="auto"/>
      </w:pPr>
      <w:r>
        <w:separator/>
      </w:r>
    </w:p>
  </w:endnote>
  <w:endnote w:type="continuationSeparator" w:id="0">
    <w:p w:rsidR="00AB5B95" w:rsidRDefault="00AB5B95" w:rsidP="004B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182102"/>
      <w:docPartObj>
        <w:docPartGallery w:val="Page Numbers (Bottom of Page)"/>
        <w:docPartUnique/>
      </w:docPartObj>
    </w:sdtPr>
    <w:sdtEndPr/>
    <w:sdtContent>
      <w:p w:rsidR="00672FB7" w:rsidRDefault="00672FB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7C1">
          <w:rPr>
            <w:noProof/>
          </w:rPr>
          <w:t>1</w:t>
        </w:r>
        <w:r>
          <w:fldChar w:fldCharType="end"/>
        </w:r>
      </w:p>
    </w:sdtContent>
  </w:sdt>
  <w:p w:rsidR="00672FB7" w:rsidRDefault="00672F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B95" w:rsidRDefault="00AB5B95" w:rsidP="004B636C">
      <w:pPr>
        <w:spacing w:after="0" w:line="240" w:lineRule="auto"/>
      </w:pPr>
      <w:r>
        <w:separator/>
      </w:r>
    </w:p>
  </w:footnote>
  <w:footnote w:type="continuationSeparator" w:id="0">
    <w:p w:rsidR="00AB5B95" w:rsidRDefault="00AB5B95" w:rsidP="004B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9"/>
      <w:gridCol w:w="6497"/>
    </w:tblGrid>
    <w:tr w:rsidR="004B636C" w:rsidTr="00697D24">
      <w:tc>
        <w:tcPr>
          <w:tcW w:w="1667" w:type="pct"/>
        </w:tcPr>
        <w:p w:rsidR="004B636C" w:rsidRDefault="004B636C" w:rsidP="00697D24">
          <w:pPr>
            <w:pStyle w:val="Encabezado"/>
            <w:tabs>
              <w:tab w:val="clear" w:pos="8504"/>
            </w:tabs>
          </w:pPr>
          <w:r w:rsidRPr="004B636C">
            <w:rPr>
              <w:noProof/>
            </w:rPr>
            <w:drawing>
              <wp:inline distT="0" distB="0" distL="0" distR="0">
                <wp:extent cx="851292" cy="864000"/>
                <wp:effectExtent l="0" t="0" r="6350" b="0"/>
                <wp:docPr id="6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33" t="4000" r="5333" b="5335"/>
                        <a:stretch/>
                      </pic:blipFill>
                      <pic:spPr bwMode="auto">
                        <a:xfrm>
                          <a:off x="0" y="0"/>
                          <a:ext cx="851292" cy="86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3" w:type="pct"/>
        </w:tcPr>
        <w:p w:rsidR="004B636C" w:rsidRPr="00176E6B" w:rsidRDefault="004B636C" w:rsidP="00697D24">
          <w:pPr>
            <w:pStyle w:val="Encabezado"/>
            <w:spacing w:before="60" w:after="60"/>
            <w:jc w:val="right"/>
            <w:rPr>
              <w:rFonts w:asciiTheme="majorHAnsi" w:hAnsiTheme="majorHAnsi" w:cstheme="majorHAnsi"/>
              <w:b/>
              <w:color w:val="2F5496" w:themeColor="accent5" w:themeShade="BF"/>
              <w:sz w:val="24"/>
            </w:rPr>
          </w:pPr>
          <w:r w:rsidRPr="00176E6B">
            <w:rPr>
              <w:rFonts w:asciiTheme="majorHAnsi" w:hAnsiTheme="majorHAnsi" w:cstheme="majorHAnsi"/>
              <w:b/>
              <w:color w:val="7F7F7F" w:themeColor="text1" w:themeTint="80"/>
              <w:sz w:val="24"/>
            </w:rPr>
            <w:t>inclue.unileon</w:t>
          </w:r>
        </w:p>
        <w:p w:rsidR="004B636C" w:rsidRPr="00AF5348" w:rsidRDefault="004B636C" w:rsidP="00697D24">
          <w:pPr>
            <w:pStyle w:val="Encabezado"/>
            <w:spacing w:before="60" w:after="60"/>
            <w:jc w:val="right"/>
            <w:rPr>
              <w:rFonts w:asciiTheme="majorHAnsi" w:hAnsiTheme="majorHAnsi" w:cstheme="majorHAnsi"/>
              <w:color w:val="2F5496" w:themeColor="accent5" w:themeShade="BF"/>
              <w:sz w:val="28"/>
            </w:rPr>
          </w:pPr>
          <w:r w:rsidRPr="00AF5348">
            <w:rPr>
              <w:rFonts w:asciiTheme="majorHAnsi" w:hAnsiTheme="majorHAnsi" w:cstheme="majorHAnsi"/>
              <w:color w:val="2F5496" w:themeColor="accent5" w:themeShade="BF"/>
              <w:sz w:val="28"/>
            </w:rPr>
            <w:t>Construcción de una Europa inclusiva y democrática frente al auge del fascismo y la xenofobia</w:t>
          </w:r>
        </w:p>
        <w:p w:rsidR="004B636C" w:rsidRPr="00AF5348" w:rsidRDefault="004B636C" w:rsidP="00697D24">
          <w:pPr>
            <w:pStyle w:val="Encabezado"/>
            <w:spacing w:before="60" w:after="60"/>
            <w:jc w:val="right"/>
            <w:rPr>
              <w:rFonts w:asciiTheme="majorHAnsi" w:hAnsiTheme="majorHAnsi" w:cstheme="majorHAnsi"/>
              <w:sz w:val="24"/>
            </w:rPr>
          </w:pPr>
          <w:r w:rsidRPr="00AF5348">
            <w:rPr>
              <w:rFonts w:asciiTheme="majorHAnsi" w:hAnsiTheme="majorHAnsi" w:cstheme="majorHAnsi"/>
              <w:color w:val="7F7F7F" w:themeColor="text1" w:themeTint="80"/>
            </w:rPr>
            <w:t>Programa Jean Monnet de la Comisión Europea</w:t>
          </w:r>
        </w:p>
      </w:tc>
    </w:tr>
  </w:tbl>
  <w:p w:rsidR="004B636C" w:rsidRDefault="004B63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20B4D"/>
    <w:multiLevelType w:val="hybridMultilevel"/>
    <w:tmpl w:val="8FDA0F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AE"/>
    <w:rsid w:val="000C7558"/>
    <w:rsid w:val="00123CA4"/>
    <w:rsid w:val="00176E6B"/>
    <w:rsid w:val="001C6041"/>
    <w:rsid w:val="001D2E68"/>
    <w:rsid w:val="001F3445"/>
    <w:rsid w:val="00332CF0"/>
    <w:rsid w:val="004B636C"/>
    <w:rsid w:val="005A2109"/>
    <w:rsid w:val="00620223"/>
    <w:rsid w:val="00672FB7"/>
    <w:rsid w:val="00697D24"/>
    <w:rsid w:val="006D660F"/>
    <w:rsid w:val="007B44A2"/>
    <w:rsid w:val="00864FCD"/>
    <w:rsid w:val="008C0C72"/>
    <w:rsid w:val="008C1A20"/>
    <w:rsid w:val="0097090B"/>
    <w:rsid w:val="00A33738"/>
    <w:rsid w:val="00AB5B95"/>
    <w:rsid w:val="00AD18BA"/>
    <w:rsid w:val="00AF5348"/>
    <w:rsid w:val="00B023F4"/>
    <w:rsid w:val="00B37D14"/>
    <w:rsid w:val="00BE68AE"/>
    <w:rsid w:val="00D747C1"/>
    <w:rsid w:val="00D862D6"/>
    <w:rsid w:val="00E220D8"/>
    <w:rsid w:val="00E9601F"/>
    <w:rsid w:val="00F249ED"/>
    <w:rsid w:val="00FA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C7E04"/>
  <w15:chartTrackingRefBased/>
  <w15:docId w15:val="{18EAEE40-B0A4-4351-92B0-EE386DBF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36C"/>
  </w:style>
  <w:style w:type="paragraph" w:styleId="Piedepgina">
    <w:name w:val="footer"/>
    <w:basedOn w:val="Normal"/>
    <w:link w:val="PiedepginaCar"/>
    <w:uiPriority w:val="99"/>
    <w:unhideWhenUsed/>
    <w:rsid w:val="004B6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36C"/>
  </w:style>
  <w:style w:type="table" w:styleId="Tablaconcuadrcula">
    <w:name w:val="Table Grid"/>
    <w:basedOn w:val="Tablanormal"/>
    <w:uiPriority w:val="39"/>
    <w:rsid w:val="004B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E960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6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AF53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6E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E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Díaz Nafría</dc:creator>
  <cp:keywords/>
  <dc:description/>
  <cp:lastModifiedBy>LUIS BUENDIA GARCIA</cp:lastModifiedBy>
  <cp:revision>4</cp:revision>
  <dcterms:created xsi:type="dcterms:W3CDTF">2020-11-06T12:29:00Z</dcterms:created>
  <dcterms:modified xsi:type="dcterms:W3CDTF">2022-09-29T14:08:00Z</dcterms:modified>
</cp:coreProperties>
</file>