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FB7" w:rsidRDefault="00E9601F" w:rsidP="00672FB7">
      <w:pPr>
        <w:pStyle w:val="Ttulo"/>
        <w:spacing w:after="120"/>
      </w:pPr>
      <w:r w:rsidRPr="00E9601F">
        <w:t>Guía de lectura</w:t>
      </w:r>
    </w:p>
    <w:p w:rsidR="00672FB7" w:rsidRPr="00672FB7" w:rsidRDefault="00672FB7" w:rsidP="00D747C1">
      <w:pPr>
        <w:jc w:val="both"/>
        <w:rPr>
          <w:rFonts w:ascii="Verdana" w:hAnsi="Verdana"/>
          <w:sz w:val="18"/>
        </w:rPr>
      </w:pPr>
    </w:p>
    <w:tbl>
      <w:tblPr>
        <w:tblStyle w:val="Tablaconcuadrcula"/>
        <w:tblW w:w="5021" w:type="pct"/>
        <w:tblLook w:val="04A0" w:firstRow="1" w:lastRow="0" w:firstColumn="1" w:lastColumn="0" w:noHBand="0" w:noVBand="1"/>
      </w:tblPr>
      <w:tblGrid>
        <w:gridCol w:w="2513"/>
        <w:gridCol w:w="4998"/>
        <w:gridCol w:w="610"/>
        <w:gridCol w:w="1656"/>
      </w:tblGrid>
      <w:tr w:rsidR="00672FB7" w:rsidRPr="00697D24" w:rsidTr="00672FB7">
        <w:tc>
          <w:tcPr>
            <w:tcW w:w="1285" w:type="pct"/>
            <w:shd w:val="clear" w:color="auto" w:fill="D9D9D9" w:themeFill="background1" w:themeFillShade="D9"/>
            <w:vAlign w:val="center"/>
          </w:tcPr>
          <w:p w:rsidR="005A2109" w:rsidRPr="005A2109" w:rsidRDefault="005A2109" w:rsidP="005A2109">
            <w:pPr>
              <w:spacing w:before="60" w:after="60" w:line="264" w:lineRule="auto"/>
              <w:rPr>
                <w:rFonts w:ascii="Verdana" w:hAnsi="Verdana"/>
                <w:b/>
                <w:sz w:val="18"/>
                <w:szCs w:val="20"/>
              </w:rPr>
            </w:pPr>
            <w:r>
              <w:rPr>
                <w:rFonts w:ascii="Verdana" w:hAnsi="Verdana"/>
                <w:b/>
                <w:sz w:val="18"/>
                <w:szCs w:val="20"/>
              </w:rPr>
              <w:t>S</w:t>
            </w:r>
            <w:r w:rsidRPr="005A2109">
              <w:rPr>
                <w:rFonts w:ascii="Verdana" w:hAnsi="Verdana"/>
                <w:b/>
                <w:sz w:val="18"/>
                <w:szCs w:val="20"/>
              </w:rPr>
              <w:t>eminario</w:t>
            </w:r>
          </w:p>
        </w:tc>
        <w:tc>
          <w:tcPr>
            <w:tcW w:w="2556" w:type="pct"/>
            <w:shd w:val="clear" w:color="auto" w:fill="F2F2F2" w:themeFill="background1" w:themeFillShade="F2"/>
            <w:vAlign w:val="center"/>
          </w:tcPr>
          <w:p w:rsidR="005A2109" w:rsidRPr="005A2109" w:rsidRDefault="006D4975" w:rsidP="005A2109">
            <w:pPr>
              <w:spacing w:before="60" w:after="60" w:line="264" w:lineRule="auto"/>
              <w:rPr>
                <w:rFonts w:ascii="Verdana" w:hAnsi="Verdana"/>
                <w:b/>
                <w:sz w:val="20"/>
                <w:szCs w:val="20"/>
              </w:rPr>
            </w:pPr>
            <w:r w:rsidRPr="006D4975">
              <w:rPr>
                <w:rFonts w:ascii="Verdana" w:hAnsi="Verdana"/>
                <w:b/>
                <w:sz w:val="20"/>
                <w:szCs w:val="20"/>
              </w:rPr>
              <w:t>Causas y consecuencias de la migración en Europa</w:t>
            </w:r>
            <w:r w:rsidR="00B37D14" w:rsidRPr="00B37D14">
              <w:rPr>
                <w:rFonts w:ascii="Verdana" w:hAnsi="Verdana"/>
                <w:b/>
                <w:sz w:val="20"/>
                <w:szCs w:val="20"/>
              </w:rPr>
              <w:t xml:space="preserve"> </w:t>
            </w:r>
          </w:p>
        </w:tc>
        <w:tc>
          <w:tcPr>
            <w:tcW w:w="312" w:type="pct"/>
            <w:shd w:val="clear" w:color="auto" w:fill="D9D9D9" w:themeFill="background1" w:themeFillShade="D9"/>
            <w:vAlign w:val="center"/>
          </w:tcPr>
          <w:p w:rsidR="005A2109" w:rsidRPr="005A2109" w:rsidRDefault="005A2109" w:rsidP="005A2109">
            <w:pPr>
              <w:spacing w:before="60" w:after="60" w:line="264" w:lineRule="auto"/>
              <w:rPr>
                <w:rFonts w:ascii="Verdana" w:hAnsi="Verdana"/>
                <w:b/>
                <w:sz w:val="18"/>
                <w:szCs w:val="20"/>
              </w:rPr>
            </w:pPr>
            <w:r w:rsidRPr="005A2109">
              <w:rPr>
                <w:rFonts w:ascii="Verdana" w:hAnsi="Verdana"/>
                <w:b/>
                <w:sz w:val="18"/>
                <w:szCs w:val="20"/>
              </w:rPr>
              <w:t>Nº</w:t>
            </w:r>
          </w:p>
        </w:tc>
        <w:tc>
          <w:tcPr>
            <w:tcW w:w="847" w:type="pct"/>
            <w:shd w:val="clear" w:color="auto" w:fill="F2F2F2" w:themeFill="background1" w:themeFillShade="F2"/>
            <w:vAlign w:val="center"/>
          </w:tcPr>
          <w:p w:rsidR="005A2109" w:rsidRPr="00F249ED" w:rsidRDefault="006D4975" w:rsidP="00672FB7">
            <w:pPr>
              <w:spacing w:before="60" w:after="60" w:line="264" w:lineRule="auto"/>
              <w:rPr>
                <w:rFonts w:ascii="Verdana" w:hAnsi="Verdana"/>
                <w:b/>
                <w:bCs/>
                <w:sz w:val="20"/>
                <w:szCs w:val="20"/>
              </w:rPr>
            </w:pPr>
            <w:r>
              <w:rPr>
                <w:rFonts w:ascii="Verdana" w:hAnsi="Verdana"/>
                <w:b/>
                <w:bCs/>
                <w:sz w:val="20"/>
                <w:szCs w:val="24"/>
              </w:rPr>
              <w:t>5</w:t>
            </w:r>
          </w:p>
        </w:tc>
      </w:tr>
      <w:tr w:rsidR="005A2109" w:rsidRPr="00697D24" w:rsidTr="00672FB7">
        <w:tc>
          <w:tcPr>
            <w:tcW w:w="1285" w:type="pct"/>
            <w:shd w:val="clear" w:color="auto" w:fill="D9D9D9" w:themeFill="background1" w:themeFillShade="D9"/>
            <w:vAlign w:val="center"/>
          </w:tcPr>
          <w:p w:rsidR="005A2109" w:rsidRPr="005A2109" w:rsidRDefault="005A2109" w:rsidP="005A2109">
            <w:pPr>
              <w:spacing w:before="60" w:after="60" w:line="264" w:lineRule="auto"/>
              <w:rPr>
                <w:rFonts w:ascii="Verdana" w:hAnsi="Verdana"/>
                <w:b/>
                <w:sz w:val="18"/>
                <w:szCs w:val="20"/>
              </w:rPr>
            </w:pPr>
            <w:r w:rsidRPr="005A2109">
              <w:rPr>
                <w:rFonts w:ascii="Verdana" w:hAnsi="Verdana"/>
                <w:b/>
                <w:sz w:val="18"/>
                <w:szCs w:val="20"/>
              </w:rPr>
              <w:t>Lectura</w:t>
            </w:r>
            <w:r w:rsidR="00F249ED">
              <w:rPr>
                <w:rFonts w:ascii="Verdana" w:hAnsi="Verdana"/>
                <w:b/>
                <w:sz w:val="18"/>
                <w:szCs w:val="20"/>
              </w:rPr>
              <w:t>s</w:t>
            </w:r>
          </w:p>
          <w:p w:rsidR="005A2109" w:rsidRPr="005A2109" w:rsidRDefault="005A2109" w:rsidP="005A2109">
            <w:pPr>
              <w:spacing w:before="60" w:after="60" w:line="264" w:lineRule="auto"/>
              <w:rPr>
                <w:rFonts w:ascii="Verdana" w:hAnsi="Verdana"/>
                <w:b/>
                <w:sz w:val="18"/>
                <w:szCs w:val="20"/>
              </w:rPr>
            </w:pPr>
          </w:p>
        </w:tc>
        <w:tc>
          <w:tcPr>
            <w:tcW w:w="3715" w:type="pct"/>
            <w:gridSpan w:val="3"/>
            <w:shd w:val="clear" w:color="auto" w:fill="F2F2F2" w:themeFill="background1" w:themeFillShade="F2"/>
            <w:vAlign w:val="center"/>
          </w:tcPr>
          <w:p w:rsidR="006D4975" w:rsidRPr="006D4975" w:rsidRDefault="006D4975" w:rsidP="00F249ED">
            <w:pPr>
              <w:spacing w:before="60" w:after="60" w:line="264" w:lineRule="auto"/>
              <w:jc w:val="both"/>
              <w:rPr>
                <w:rFonts w:ascii="Verdana" w:hAnsi="Verdana"/>
                <w:sz w:val="18"/>
                <w:szCs w:val="18"/>
              </w:rPr>
            </w:pPr>
            <w:r w:rsidRPr="006D4975">
              <w:rPr>
                <w:rFonts w:ascii="Verdana" w:hAnsi="Verdana"/>
                <w:sz w:val="20"/>
                <w:szCs w:val="20"/>
              </w:rPr>
              <w:t xml:space="preserve">Alonso Rocafort, Víctor (2009): "La libertad de movimiento en Hannah Arendt": </w:t>
            </w:r>
            <w:r w:rsidRPr="006D4975">
              <w:rPr>
                <w:rFonts w:ascii="Verdana" w:hAnsi="Verdana"/>
                <w:i/>
                <w:iCs/>
                <w:sz w:val="20"/>
                <w:szCs w:val="20"/>
              </w:rPr>
              <w:t>Revista de estudios políticos</w:t>
            </w:r>
            <w:r w:rsidRPr="006D4975">
              <w:rPr>
                <w:rFonts w:ascii="Verdana" w:hAnsi="Verdana"/>
                <w:sz w:val="20"/>
                <w:szCs w:val="20"/>
              </w:rPr>
              <w:t>, nº145 (2009): 33-64.</w:t>
            </w:r>
            <w:r w:rsidR="0098381D">
              <w:rPr>
                <w:rFonts w:ascii="Verdana" w:hAnsi="Verdana"/>
                <w:sz w:val="20"/>
                <w:szCs w:val="20"/>
              </w:rPr>
              <w:t xml:space="preserve"> [3 primeras preguntas]</w:t>
            </w:r>
          </w:p>
          <w:p w:rsidR="00F249ED" w:rsidRDefault="006D4975" w:rsidP="00F249ED">
            <w:pPr>
              <w:spacing w:before="60" w:after="60" w:line="264" w:lineRule="auto"/>
              <w:jc w:val="both"/>
              <w:rPr>
                <w:rFonts w:ascii="Verdana" w:hAnsi="Verdana"/>
                <w:sz w:val="20"/>
                <w:szCs w:val="20"/>
              </w:rPr>
            </w:pPr>
            <w:r>
              <w:rPr>
                <w:rFonts w:ascii="Verdana" w:hAnsi="Verdana"/>
                <w:sz w:val="20"/>
                <w:szCs w:val="20"/>
              </w:rPr>
              <w:t>Elías, Margarita (2020): “</w:t>
            </w:r>
            <w:r w:rsidRPr="006D4975">
              <w:rPr>
                <w:rFonts w:ascii="Verdana" w:hAnsi="Verdana"/>
                <w:sz w:val="20"/>
                <w:szCs w:val="20"/>
              </w:rPr>
              <w:t>Grecia expulsa colectivamente a más de 700 solicitantes de asilo ante el silencio cómplice de la Unión Europea</w:t>
            </w:r>
            <w:r>
              <w:rPr>
                <w:rFonts w:ascii="Verdana" w:hAnsi="Verdana"/>
                <w:sz w:val="20"/>
                <w:szCs w:val="20"/>
              </w:rPr>
              <w:t xml:space="preserve">”, </w:t>
            </w:r>
            <w:r w:rsidRPr="006D4975">
              <w:rPr>
                <w:rFonts w:ascii="Verdana" w:hAnsi="Verdana"/>
                <w:i/>
                <w:iCs/>
                <w:sz w:val="20"/>
                <w:szCs w:val="20"/>
              </w:rPr>
              <w:t>Público</w:t>
            </w:r>
            <w:r>
              <w:rPr>
                <w:rFonts w:ascii="Verdana" w:hAnsi="Verdana"/>
                <w:sz w:val="20"/>
                <w:szCs w:val="20"/>
              </w:rPr>
              <w:t>, 03/06/2020.</w:t>
            </w:r>
            <w:r w:rsidR="0098381D">
              <w:rPr>
                <w:rFonts w:ascii="Verdana" w:hAnsi="Verdana"/>
                <w:sz w:val="20"/>
                <w:szCs w:val="20"/>
              </w:rPr>
              <w:t xml:space="preserve"> [3 últimas preguntas]</w:t>
            </w:r>
          </w:p>
          <w:p w:rsidR="006D4975" w:rsidRPr="00F249ED" w:rsidRDefault="006D4975" w:rsidP="00F249ED">
            <w:pPr>
              <w:spacing w:before="60" w:after="60" w:line="264" w:lineRule="auto"/>
              <w:jc w:val="both"/>
              <w:rPr>
                <w:rFonts w:ascii="Verdana" w:hAnsi="Verdana"/>
                <w:sz w:val="20"/>
                <w:szCs w:val="20"/>
              </w:rPr>
            </w:pPr>
            <w:r>
              <w:rPr>
                <w:rFonts w:ascii="Verdana" w:hAnsi="Verdana"/>
                <w:sz w:val="20"/>
                <w:szCs w:val="20"/>
              </w:rPr>
              <w:t>Simón, Patricia (2020): “</w:t>
            </w:r>
            <w:r w:rsidRPr="006D4975">
              <w:rPr>
                <w:rFonts w:ascii="Verdana" w:hAnsi="Verdana"/>
                <w:sz w:val="20"/>
                <w:szCs w:val="20"/>
              </w:rPr>
              <w:t>Moria, un laboratorio del odio (3)</w:t>
            </w:r>
            <w:r>
              <w:rPr>
                <w:rFonts w:ascii="Verdana" w:hAnsi="Verdana"/>
                <w:sz w:val="20"/>
                <w:szCs w:val="20"/>
              </w:rPr>
              <w:t xml:space="preserve">”, </w:t>
            </w:r>
            <w:r w:rsidRPr="006D4975">
              <w:rPr>
                <w:rFonts w:ascii="Verdana" w:hAnsi="Verdana"/>
                <w:i/>
                <w:iCs/>
                <w:sz w:val="20"/>
                <w:szCs w:val="20"/>
              </w:rPr>
              <w:t>La Marea</w:t>
            </w:r>
            <w:r>
              <w:rPr>
                <w:rFonts w:ascii="Verdana" w:hAnsi="Verdana"/>
                <w:sz w:val="20"/>
                <w:szCs w:val="20"/>
              </w:rPr>
              <w:t>, 12/09/2020</w:t>
            </w:r>
            <w:r w:rsidR="008C1FD4">
              <w:rPr>
                <w:rFonts w:ascii="Verdana" w:hAnsi="Verdana"/>
                <w:sz w:val="20"/>
                <w:szCs w:val="20"/>
              </w:rPr>
              <w:t>.</w:t>
            </w:r>
            <w:r w:rsidR="0098381D">
              <w:rPr>
                <w:rFonts w:ascii="Verdana" w:hAnsi="Verdana"/>
                <w:sz w:val="20"/>
                <w:szCs w:val="20"/>
              </w:rPr>
              <w:t xml:space="preserve"> [3 últimas preguntas]</w:t>
            </w:r>
          </w:p>
        </w:tc>
      </w:tr>
      <w:tr w:rsidR="005A2109" w:rsidRPr="00697D24" w:rsidTr="00672FB7">
        <w:tc>
          <w:tcPr>
            <w:tcW w:w="1285" w:type="pct"/>
            <w:shd w:val="clear" w:color="auto" w:fill="D9D9D9" w:themeFill="background1" w:themeFillShade="D9"/>
            <w:vAlign w:val="center"/>
          </w:tcPr>
          <w:p w:rsidR="005A2109" w:rsidRPr="005A2109" w:rsidRDefault="005A2109" w:rsidP="005A2109">
            <w:pPr>
              <w:spacing w:before="60" w:after="60" w:line="264" w:lineRule="auto"/>
              <w:rPr>
                <w:rFonts w:ascii="Verdana" w:hAnsi="Verdana"/>
                <w:b/>
                <w:sz w:val="18"/>
                <w:szCs w:val="20"/>
              </w:rPr>
            </w:pPr>
            <w:r w:rsidRPr="005A2109">
              <w:rPr>
                <w:rFonts w:ascii="Verdana" w:hAnsi="Verdana"/>
                <w:b/>
                <w:sz w:val="18"/>
                <w:szCs w:val="20"/>
              </w:rPr>
              <w:t>Tema central de</w:t>
            </w:r>
            <w:r w:rsidR="0098381D">
              <w:rPr>
                <w:rFonts w:ascii="Verdana" w:hAnsi="Verdana"/>
                <w:b/>
                <w:sz w:val="18"/>
                <w:szCs w:val="20"/>
              </w:rPr>
              <w:t xml:space="preserve"> </w:t>
            </w:r>
            <w:r w:rsidRPr="005A2109">
              <w:rPr>
                <w:rFonts w:ascii="Verdana" w:hAnsi="Verdana"/>
                <w:b/>
                <w:sz w:val="18"/>
                <w:szCs w:val="20"/>
              </w:rPr>
              <w:t>l</w:t>
            </w:r>
            <w:r w:rsidR="0098381D">
              <w:rPr>
                <w:rFonts w:ascii="Verdana" w:hAnsi="Verdana"/>
                <w:b/>
                <w:sz w:val="18"/>
                <w:szCs w:val="20"/>
              </w:rPr>
              <w:t>os</w:t>
            </w:r>
            <w:r w:rsidRPr="005A2109">
              <w:rPr>
                <w:rFonts w:ascii="Verdana" w:hAnsi="Verdana"/>
                <w:b/>
                <w:sz w:val="18"/>
                <w:szCs w:val="20"/>
              </w:rPr>
              <w:t xml:space="preserve"> texto</w:t>
            </w:r>
            <w:r w:rsidR="0098381D">
              <w:rPr>
                <w:rFonts w:ascii="Verdana" w:hAnsi="Verdana"/>
                <w:b/>
                <w:sz w:val="18"/>
                <w:szCs w:val="20"/>
              </w:rPr>
              <w:t>s</w:t>
            </w:r>
          </w:p>
        </w:tc>
        <w:tc>
          <w:tcPr>
            <w:tcW w:w="3715" w:type="pct"/>
            <w:gridSpan w:val="3"/>
            <w:vAlign w:val="center"/>
          </w:tcPr>
          <w:p w:rsidR="00672FB7" w:rsidRPr="00697D24" w:rsidRDefault="0098381D" w:rsidP="00672FB7">
            <w:pPr>
              <w:spacing w:before="60" w:after="60" w:line="264" w:lineRule="auto"/>
              <w:rPr>
                <w:rFonts w:ascii="Verdana" w:hAnsi="Verdana"/>
                <w:sz w:val="20"/>
                <w:szCs w:val="20"/>
              </w:rPr>
            </w:pPr>
            <w:r>
              <w:rPr>
                <w:rFonts w:ascii="Verdana" w:hAnsi="Verdana"/>
                <w:sz w:val="20"/>
                <w:szCs w:val="20"/>
              </w:rPr>
              <w:t>La ética y la política de los movimientos migratorios y su realidad</w:t>
            </w:r>
          </w:p>
        </w:tc>
      </w:tr>
      <w:tr w:rsidR="005A2109" w:rsidRPr="00697D24" w:rsidTr="00672FB7">
        <w:tc>
          <w:tcPr>
            <w:tcW w:w="5000" w:type="pct"/>
            <w:gridSpan w:val="4"/>
            <w:shd w:val="clear" w:color="auto" w:fill="D9D9D9" w:themeFill="background1" w:themeFillShade="D9"/>
            <w:vAlign w:val="center"/>
          </w:tcPr>
          <w:p w:rsidR="005A2109" w:rsidRPr="00F249ED" w:rsidRDefault="005A2109" w:rsidP="005A2109">
            <w:pPr>
              <w:spacing w:before="60" w:after="60" w:line="264" w:lineRule="auto"/>
              <w:rPr>
                <w:rFonts w:ascii="Verdana" w:hAnsi="Verdana"/>
                <w:b/>
                <w:sz w:val="18"/>
                <w:szCs w:val="20"/>
              </w:rPr>
            </w:pPr>
            <w:r w:rsidRPr="005A2109">
              <w:rPr>
                <w:rFonts w:ascii="Verdana" w:hAnsi="Verdana"/>
                <w:b/>
                <w:sz w:val="18"/>
                <w:szCs w:val="20"/>
              </w:rPr>
              <w:t>Preguntas para la reflexión</w:t>
            </w:r>
          </w:p>
        </w:tc>
      </w:tr>
      <w:tr w:rsidR="005A2109" w:rsidRPr="00697D24" w:rsidTr="00672FB7">
        <w:tc>
          <w:tcPr>
            <w:tcW w:w="1285" w:type="pct"/>
            <w:shd w:val="clear" w:color="auto" w:fill="D9D9D9" w:themeFill="background1" w:themeFillShade="D9"/>
            <w:vAlign w:val="center"/>
          </w:tcPr>
          <w:p w:rsidR="005A2109" w:rsidRPr="005A2109" w:rsidRDefault="006D4975" w:rsidP="005A2109">
            <w:pPr>
              <w:pStyle w:val="Prrafodelista"/>
              <w:numPr>
                <w:ilvl w:val="0"/>
                <w:numId w:val="1"/>
              </w:numPr>
              <w:spacing w:before="60" w:after="60" w:line="264" w:lineRule="auto"/>
              <w:ind w:left="318" w:hanging="284"/>
              <w:rPr>
                <w:rFonts w:ascii="Verdana" w:hAnsi="Verdana"/>
                <w:sz w:val="18"/>
                <w:szCs w:val="20"/>
              </w:rPr>
            </w:pPr>
            <w:r w:rsidRPr="006D4975">
              <w:rPr>
                <w:rFonts w:ascii="Verdana" w:hAnsi="Verdana"/>
                <w:sz w:val="20"/>
                <w:szCs w:val="20"/>
              </w:rPr>
              <w:t>Hannah Arendt y Joseph Carens coinciden en que la libertad de movimiento es un prerrequisito para el resto de libertades. ¿Por qué?</w:t>
            </w:r>
          </w:p>
        </w:tc>
        <w:tc>
          <w:tcPr>
            <w:tcW w:w="3715" w:type="pct"/>
            <w:gridSpan w:val="3"/>
            <w:vAlign w:val="center"/>
          </w:tcPr>
          <w:p w:rsidR="005A2109" w:rsidRDefault="005A2109" w:rsidP="005A2109">
            <w:pPr>
              <w:spacing w:before="60" w:after="60" w:line="264" w:lineRule="auto"/>
              <w:rPr>
                <w:rFonts w:ascii="Verdana" w:hAnsi="Verdana"/>
                <w:sz w:val="20"/>
                <w:szCs w:val="20"/>
              </w:rPr>
            </w:pPr>
          </w:p>
        </w:tc>
      </w:tr>
      <w:tr w:rsidR="005A2109" w:rsidRPr="00697D24" w:rsidTr="00672FB7">
        <w:tc>
          <w:tcPr>
            <w:tcW w:w="1285" w:type="pct"/>
            <w:shd w:val="clear" w:color="auto" w:fill="D9D9D9" w:themeFill="background1" w:themeFillShade="D9"/>
            <w:vAlign w:val="center"/>
          </w:tcPr>
          <w:p w:rsidR="005A2109" w:rsidRPr="005A2109" w:rsidRDefault="006D4975" w:rsidP="005A2109">
            <w:pPr>
              <w:pStyle w:val="Prrafodelista"/>
              <w:numPr>
                <w:ilvl w:val="0"/>
                <w:numId w:val="1"/>
              </w:numPr>
              <w:spacing w:before="60" w:after="60" w:line="264" w:lineRule="auto"/>
              <w:ind w:left="318" w:hanging="284"/>
              <w:rPr>
                <w:rFonts w:ascii="Verdana" w:hAnsi="Verdana"/>
                <w:sz w:val="18"/>
                <w:szCs w:val="20"/>
              </w:rPr>
            </w:pPr>
            <w:r w:rsidRPr="006D4975">
              <w:rPr>
                <w:rFonts w:ascii="Verdana" w:hAnsi="Verdana"/>
                <w:sz w:val="20"/>
                <w:szCs w:val="20"/>
              </w:rPr>
              <w:t>¿Qué relación encuentra</w:t>
            </w:r>
            <w:r>
              <w:rPr>
                <w:rFonts w:ascii="Verdana" w:hAnsi="Verdana"/>
                <w:sz w:val="20"/>
                <w:szCs w:val="20"/>
              </w:rPr>
              <w:t>s</w:t>
            </w:r>
            <w:r w:rsidRPr="006D4975">
              <w:rPr>
                <w:rFonts w:ascii="Verdana" w:hAnsi="Verdana"/>
                <w:sz w:val="20"/>
                <w:szCs w:val="20"/>
              </w:rPr>
              <w:t xml:space="preserve"> entre la libertad de movimiento en el pensar y aquella que se puede dar en el mundo?</w:t>
            </w:r>
          </w:p>
        </w:tc>
        <w:tc>
          <w:tcPr>
            <w:tcW w:w="3715" w:type="pct"/>
            <w:gridSpan w:val="3"/>
            <w:vAlign w:val="center"/>
          </w:tcPr>
          <w:p w:rsidR="005A2109" w:rsidRDefault="005A2109" w:rsidP="005A2109">
            <w:pPr>
              <w:spacing w:before="60" w:after="60" w:line="264" w:lineRule="auto"/>
              <w:rPr>
                <w:rFonts w:ascii="Verdana" w:hAnsi="Verdana"/>
                <w:sz w:val="20"/>
                <w:szCs w:val="20"/>
              </w:rPr>
            </w:pPr>
          </w:p>
        </w:tc>
      </w:tr>
      <w:tr w:rsidR="005A2109" w:rsidRPr="00697D24" w:rsidTr="00672FB7">
        <w:tc>
          <w:tcPr>
            <w:tcW w:w="1285" w:type="pct"/>
            <w:shd w:val="clear" w:color="auto" w:fill="D9D9D9" w:themeFill="background1" w:themeFillShade="D9"/>
            <w:vAlign w:val="center"/>
          </w:tcPr>
          <w:p w:rsidR="005A2109" w:rsidRPr="005A2109" w:rsidRDefault="00507D22" w:rsidP="005A2109">
            <w:pPr>
              <w:pStyle w:val="Prrafodelista"/>
              <w:numPr>
                <w:ilvl w:val="0"/>
                <w:numId w:val="1"/>
              </w:numPr>
              <w:spacing w:before="60" w:after="60" w:line="264" w:lineRule="auto"/>
              <w:ind w:left="318" w:hanging="284"/>
              <w:rPr>
                <w:rFonts w:ascii="Verdana" w:hAnsi="Verdana"/>
                <w:b/>
                <w:sz w:val="18"/>
                <w:szCs w:val="20"/>
              </w:rPr>
            </w:pPr>
            <w:r w:rsidRPr="00507D22">
              <w:rPr>
                <w:rFonts w:ascii="Verdana" w:hAnsi="Verdana"/>
                <w:sz w:val="20"/>
                <w:szCs w:val="20"/>
              </w:rPr>
              <w:t xml:space="preserve">Encuentre tres razones por las que teóricamente una democracia debería adoptar un modelo de fronteras abiertas, “permitiendo la libertad de movimiento en el mundo”, y tres por </w:t>
            </w:r>
            <w:r w:rsidRPr="00507D22">
              <w:rPr>
                <w:rFonts w:ascii="Verdana" w:hAnsi="Verdana"/>
                <w:sz w:val="20"/>
                <w:szCs w:val="20"/>
              </w:rPr>
              <w:lastRenderedPageBreak/>
              <w:t>las que no</w:t>
            </w:r>
            <w:bookmarkStart w:id="0" w:name="_GoBack"/>
            <w:bookmarkEnd w:id="0"/>
            <w:r w:rsidR="006D4975" w:rsidRPr="006D4975">
              <w:rPr>
                <w:rFonts w:ascii="Verdana" w:hAnsi="Verdana"/>
                <w:sz w:val="20"/>
                <w:szCs w:val="20"/>
              </w:rPr>
              <w:t>. Exp</w:t>
            </w:r>
            <w:r w:rsidR="006D4975">
              <w:rPr>
                <w:rFonts w:ascii="Verdana" w:hAnsi="Verdana"/>
                <w:sz w:val="20"/>
                <w:szCs w:val="20"/>
              </w:rPr>
              <w:t>ón</w:t>
            </w:r>
            <w:r w:rsidR="006D4975" w:rsidRPr="006D4975">
              <w:rPr>
                <w:rFonts w:ascii="Verdana" w:hAnsi="Verdana"/>
                <w:sz w:val="20"/>
                <w:szCs w:val="20"/>
              </w:rPr>
              <w:t xml:space="preserve">, finalmente, </w:t>
            </w:r>
            <w:r w:rsidR="006D4975">
              <w:rPr>
                <w:rFonts w:ascii="Verdana" w:hAnsi="Verdana"/>
                <w:sz w:val="20"/>
                <w:szCs w:val="20"/>
              </w:rPr>
              <w:t>t</w:t>
            </w:r>
            <w:r w:rsidR="006D4975" w:rsidRPr="006D4975">
              <w:rPr>
                <w:rFonts w:ascii="Verdana" w:hAnsi="Verdana"/>
                <w:sz w:val="20"/>
                <w:szCs w:val="20"/>
              </w:rPr>
              <w:t>u posición al respecto.</w:t>
            </w:r>
          </w:p>
        </w:tc>
        <w:tc>
          <w:tcPr>
            <w:tcW w:w="3715" w:type="pct"/>
            <w:gridSpan w:val="3"/>
            <w:vAlign w:val="center"/>
          </w:tcPr>
          <w:p w:rsidR="005A2109" w:rsidRDefault="005A2109" w:rsidP="005A2109">
            <w:pPr>
              <w:spacing w:before="60" w:after="60" w:line="264" w:lineRule="auto"/>
              <w:rPr>
                <w:rFonts w:ascii="Verdana" w:hAnsi="Verdana"/>
                <w:sz w:val="20"/>
                <w:szCs w:val="20"/>
              </w:rPr>
            </w:pPr>
          </w:p>
        </w:tc>
      </w:tr>
      <w:tr w:rsidR="005A2109" w:rsidRPr="00697D24" w:rsidTr="00672FB7">
        <w:tc>
          <w:tcPr>
            <w:tcW w:w="1285" w:type="pct"/>
            <w:shd w:val="clear" w:color="auto" w:fill="D9D9D9" w:themeFill="background1" w:themeFillShade="D9"/>
            <w:vAlign w:val="center"/>
          </w:tcPr>
          <w:p w:rsidR="006D4975" w:rsidRPr="006D4975" w:rsidRDefault="006D4975" w:rsidP="006D4975">
            <w:pPr>
              <w:pStyle w:val="Prrafodelista"/>
              <w:numPr>
                <w:ilvl w:val="0"/>
                <w:numId w:val="1"/>
              </w:numPr>
              <w:rPr>
                <w:rFonts w:ascii="Verdana" w:hAnsi="Verdana"/>
                <w:sz w:val="20"/>
                <w:szCs w:val="20"/>
              </w:rPr>
            </w:pPr>
            <w:r w:rsidRPr="006D4975">
              <w:rPr>
                <w:rFonts w:ascii="Verdana" w:hAnsi="Verdana"/>
                <w:sz w:val="20"/>
                <w:szCs w:val="20"/>
              </w:rPr>
              <w:t>El verano de 2015 se denominó el “largo verano de la migración”. 5 años y medio más tarde, lo que se justificaba como consecuencia de un estado de crisis, las condiciones de vida de las personas refugiadas en las islas del Egeo (Grecia), se muestra con claridad como una estructura sistémica: ¿cuáles crees que son los elementos que posibilitan/facilitan la normalización de esta estructura?</w:t>
            </w:r>
          </w:p>
        </w:tc>
        <w:tc>
          <w:tcPr>
            <w:tcW w:w="3715" w:type="pct"/>
            <w:gridSpan w:val="3"/>
            <w:vAlign w:val="center"/>
          </w:tcPr>
          <w:p w:rsidR="005A2109" w:rsidRDefault="005A2109" w:rsidP="005A2109">
            <w:pPr>
              <w:spacing w:before="60" w:after="60" w:line="264" w:lineRule="auto"/>
              <w:rPr>
                <w:rFonts w:ascii="Verdana" w:hAnsi="Verdana"/>
                <w:sz w:val="20"/>
                <w:szCs w:val="20"/>
              </w:rPr>
            </w:pPr>
          </w:p>
        </w:tc>
      </w:tr>
      <w:tr w:rsidR="005A2109" w:rsidRPr="00697D24" w:rsidTr="00672FB7">
        <w:tc>
          <w:tcPr>
            <w:tcW w:w="1285" w:type="pct"/>
            <w:shd w:val="clear" w:color="auto" w:fill="D9D9D9" w:themeFill="background1" w:themeFillShade="D9"/>
            <w:vAlign w:val="center"/>
          </w:tcPr>
          <w:p w:rsidR="005A2109" w:rsidRPr="005A2109" w:rsidRDefault="006D4975" w:rsidP="005A2109">
            <w:pPr>
              <w:pStyle w:val="Prrafodelista"/>
              <w:numPr>
                <w:ilvl w:val="0"/>
                <w:numId w:val="1"/>
              </w:numPr>
              <w:spacing w:before="60" w:after="60" w:line="264" w:lineRule="auto"/>
              <w:ind w:left="318" w:hanging="284"/>
              <w:rPr>
                <w:rFonts w:ascii="Verdana" w:hAnsi="Verdana"/>
                <w:b/>
                <w:sz w:val="18"/>
                <w:szCs w:val="20"/>
              </w:rPr>
            </w:pPr>
            <w:r w:rsidRPr="006D4975">
              <w:rPr>
                <w:rFonts w:ascii="Verdana" w:hAnsi="Verdana"/>
                <w:sz w:val="20"/>
                <w:szCs w:val="20"/>
              </w:rPr>
              <w:t>En un espacio en el que TODOS los derechos fundamentales de las personas en movimiento son negados y violados</w:t>
            </w:r>
            <w:r w:rsidR="005D5A54">
              <w:rPr>
                <w:rFonts w:ascii="Verdana" w:hAnsi="Verdana"/>
                <w:sz w:val="20"/>
                <w:szCs w:val="20"/>
              </w:rPr>
              <w:t>,</w:t>
            </w:r>
            <w:r w:rsidRPr="006D4975">
              <w:rPr>
                <w:rFonts w:ascii="Verdana" w:hAnsi="Verdana"/>
                <w:sz w:val="20"/>
                <w:szCs w:val="20"/>
              </w:rPr>
              <w:t xml:space="preserve"> ¿cómo se redefine el concepto derecho?, ¿cómo podemos distinguir entre lo que son derechos y lo que son privilegios?</w:t>
            </w:r>
          </w:p>
        </w:tc>
        <w:tc>
          <w:tcPr>
            <w:tcW w:w="3715" w:type="pct"/>
            <w:gridSpan w:val="3"/>
            <w:vAlign w:val="center"/>
          </w:tcPr>
          <w:p w:rsidR="005A2109" w:rsidRDefault="005A2109" w:rsidP="005A2109">
            <w:pPr>
              <w:spacing w:before="60" w:after="60" w:line="264" w:lineRule="auto"/>
              <w:rPr>
                <w:rFonts w:ascii="Verdana" w:hAnsi="Verdana"/>
                <w:sz w:val="20"/>
                <w:szCs w:val="20"/>
              </w:rPr>
            </w:pPr>
          </w:p>
        </w:tc>
      </w:tr>
      <w:tr w:rsidR="005A2109" w:rsidRPr="00697D24" w:rsidTr="00672FB7">
        <w:tc>
          <w:tcPr>
            <w:tcW w:w="1285" w:type="pct"/>
            <w:shd w:val="clear" w:color="auto" w:fill="D9D9D9" w:themeFill="background1" w:themeFillShade="D9"/>
            <w:vAlign w:val="center"/>
          </w:tcPr>
          <w:p w:rsidR="005A2109" w:rsidRPr="005A2109" w:rsidRDefault="005D5A54" w:rsidP="005A2109">
            <w:pPr>
              <w:pStyle w:val="Prrafodelista"/>
              <w:numPr>
                <w:ilvl w:val="0"/>
                <w:numId w:val="1"/>
              </w:numPr>
              <w:spacing w:before="60" w:after="60" w:line="264" w:lineRule="auto"/>
              <w:ind w:left="318" w:hanging="284"/>
              <w:rPr>
                <w:rFonts w:ascii="Verdana" w:hAnsi="Verdana"/>
                <w:b/>
                <w:sz w:val="18"/>
                <w:szCs w:val="20"/>
              </w:rPr>
            </w:pPr>
            <w:r w:rsidRPr="005D5A54">
              <w:rPr>
                <w:rFonts w:ascii="Verdana" w:hAnsi="Verdana"/>
                <w:sz w:val="20"/>
                <w:szCs w:val="20"/>
              </w:rPr>
              <w:t xml:space="preserve">¿Cuáles son, en tu opinión, las posibles razones que explican el </w:t>
            </w:r>
            <w:r w:rsidRPr="005D5A54">
              <w:rPr>
                <w:rFonts w:ascii="Verdana" w:hAnsi="Verdana"/>
                <w:sz w:val="20"/>
                <w:szCs w:val="20"/>
              </w:rPr>
              <w:lastRenderedPageBreak/>
              <w:t>empeoramiento de las condiciones de vida y de las violencias ejercidas contra las personas migrantes en Europa durante el pasado año 2020? ¿cuáles son las perspectivas de futuro?</w:t>
            </w:r>
          </w:p>
        </w:tc>
        <w:tc>
          <w:tcPr>
            <w:tcW w:w="3715" w:type="pct"/>
            <w:gridSpan w:val="3"/>
            <w:vAlign w:val="center"/>
          </w:tcPr>
          <w:p w:rsidR="005A2109" w:rsidRDefault="005A2109" w:rsidP="005A2109">
            <w:pPr>
              <w:spacing w:before="60" w:after="60" w:line="264" w:lineRule="auto"/>
              <w:rPr>
                <w:rFonts w:ascii="Verdana" w:hAnsi="Verdana"/>
                <w:sz w:val="20"/>
                <w:szCs w:val="20"/>
              </w:rPr>
            </w:pPr>
          </w:p>
        </w:tc>
      </w:tr>
      <w:tr w:rsidR="005A2109" w:rsidRPr="00697D24" w:rsidTr="00672FB7">
        <w:tc>
          <w:tcPr>
            <w:tcW w:w="1285" w:type="pct"/>
            <w:shd w:val="clear" w:color="auto" w:fill="D9D9D9" w:themeFill="background1" w:themeFillShade="D9"/>
            <w:vAlign w:val="center"/>
          </w:tcPr>
          <w:p w:rsidR="005A2109" w:rsidRPr="005A2109" w:rsidRDefault="005A2109" w:rsidP="005A2109">
            <w:pPr>
              <w:spacing w:before="60" w:after="60" w:line="264" w:lineRule="auto"/>
              <w:rPr>
                <w:rFonts w:ascii="Verdana" w:hAnsi="Verdana"/>
                <w:b/>
                <w:sz w:val="18"/>
                <w:szCs w:val="20"/>
              </w:rPr>
            </w:pPr>
            <w:r w:rsidRPr="005A2109">
              <w:rPr>
                <w:rFonts w:ascii="Verdana" w:hAnsi="Verdana"/>
                <w:b/>
                <w:sz w:val="18"/>
                <w:szCs w:val="20"/>
              </w:rPr>
              <w:t xml:space="preserve">Comentarios adicionales </w:t>
            </w:r>
          </w:p>
          <w:p w:rsidR="005A2109" w:rsidRPr="005A2109" w:rsidRDefault="005A2109" w:rsidP="005A2109">
            <w:pPr>
              <w:spacing w:before="60" w:after="60" w:line="264" w:lineRule="auto"/>
              <w:rPr>
                <w:rFonts w:ascii="Verdana" w:hAnsi="Verdana"/>
                <w:sz w:val="18"/>
                <w:szCs w:val="20"/>
              </w:rPr>
            </w:pPr>
            <w:r w:rsidRPr="005A2109">
              <w:rPr>
                <w:rFonts w:ascii="Verdana" w:hAnsi="Verdana"/>
                <w:sz w:val="18"/>
                <w:szCs w:val="20"/>
              </w:rPr>
              <w:t>Añade libremente los comentarios que consideres de interés en relación a los objetivos del seminario.</w:t>
            </w:r>
          </w:p>
        </w:tc>
        <w:tc>
          <w:tcPr>
            <w:tcW w:w="3715" w:type="pct"/>
            <w:gridSpan w:val="3"/>
            <w:vAlign w:val="center"/>
          </w:tcPr>
          <w:p w:rsidR="005A2109" w:rsidRPr="001D2E68" w:rsidRDefault="005A2109" w:rsidP="005A2109">
            <w:pPr>
              <w:spacing w:before="60" w:after="60" w:line="264" w:lineRule="auto"/>
              <w:rPr>
                <w:rFonts w:ascii="Verdana" w:hAnsi="Verdana"/>
                <w:sz w:val="20"/>
                <w:szCs w:val="20"/>
              </w:rPr>
            </w:pPr>
          </w:p>
        </w:tc>
      </w:tr>
    </w:tbl>
    <w:p w:rsidR="00672FB7" w:rsidRPr="00E9601F" w:rsidRDefault="00672FB7" w:rsidP="00E9601F">
      <w:pPr>
        <w:rPr>
          <w:b/>
        </w:rPr>
      </w:pPr>
    </w:p>
    <w:sectPr w:rsidR="00672FB7" w:rsidRPr="00E9601F" w:rsidSect="00672FB7">
      <w:headerReference w:type="default" r:id="rId7"/>
      <w:footerReference w:type="default" r:id="rId8"/>
      <w:pgSz w:w="11906" w:h="16838"/>
      <w:pgMar w:top="1440" w:right="1080" w:bottom="1440" w:left="1080" w:header="708"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6AE" w:rsidRDefault="009116AE" w:rsidP="004B636C">
      <w:pPr>
        <w:spacing w:after="0" w:line="240" w:lineRule="auto"/>
      </w:pPr>
      <w:r>
        <w:separator/>
      </w:r>
    </w:p>
  </w:endnote>
  <w:endnote w:type="continuationSeparator" w:id="0">
    <w:p w:rsidR="009116AE" w:rsidRDefault="009116AE" w:rsidP="004B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82102"/>
      <w:docPartObj>
        <w:docPartGallery w:val="Page Numbers (Bottom of Page)"/>
        <w:docPartUnique/>
      </w:docPartObj>
    </w:sdtPr>
    <w:sdtEndPr/>
    <w:sdtContent>
      <w:p w:rsidR="00672FB7" w:rsidRDefault="00672FB7">
        <w:pPr>
          <w:pStyle w:val="Piedepgina"/>
          <w:jc w:val="center"/>
        </w:pPr>
        <w:r>
          <w:fldChar w:fldCharType="begin"/>
        </w:r>
        <w:r>
          <w:instrText>PAGE   \* MERGEFORMAT</w:instrText>
        </w:r>
        <w:r>
          <w:fldChar w:fldCharType="separate"/>
        </w:r>
        <w:r w:rsidR="00D747C1">
          <w:rPr>
            <w:noProof/>
          </w:rPr>
          <w:t>1</w:t>
        </w:r>
        <w:r>
          <w:fldChar w:fldCharType="end"/>
        </w:r>
      </w:p>
    </w:sdtContent>
  </w:sdt>
  <w:p w:rsidR="00672FB7" w:rsidRDefault="00672F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6AE" w:rsidRDefault="009116AE" w:rsidP="004B636C">
      <w:pPr>
        <w:spacing w:after="0" w:line="240" w:lineRule="auto"/>
      </w:pPr>
      <w:r>
        <w:separator/>
      </w:r>
    </w:p>
  </w:footnote>
  <w:footnote w:type="continuationSeparator" w:id="0">
    <w:p w:rsidR="009116AE" w:rsidRDefault="009116AE" w:rsidP="004B6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6497"/>
    </w:tblGrid>
    <w:tr w:rsidR="004B636C" w:rsidTr="00697D24">
      <w:tc>
        <w:tcPr>
          <w:tcW w:w="1667" w:type="pct"/>
        </w:tcPr>
        <w:p w:rsidR="004B636C" w:rsidRDefault="004B636C" w:rsidP="00697D24">
          <w:pPr>
            <w:pStyle w:val="Encabezado"/>
            <w:tabs>
              <w:tab w:val="clear" w:pos="8504"/>
            </w:tabs>
          </w:pPr>
          <w:r w:rsidRPr="004B636C">
            <w:rPr>
              <w:noProof/>
            </w:rPr>
            <w:drawing>
              <wp:inline distT="0" distB="0" distL="0" distR="0">
                <wp:extent cx="851292" cy="864000"/>
                <wp:effectExtent l="0" t="0" r="6350" b="0"/>
                <wp:docPr id="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5333" t="4000" r="5333" b="5335"/>
                        <a:stretch/>
                      </pic:blipFill>
                      <pic:spPr bwMode="auto">
                        <a:xfrm>
                          <a:off x="0" y="0"/>
                          <a:ext cx="851292" cy="864000"/>
                        </a:xfrm>
                        <a:prstGeom prst="rect">
                          <a:avLst/>
                        </a:prstGeom>
                        <a:ln>
                          <a:noFill/>
                        </a:ln>
                        <a:extLst>
                          <a:ext uri="{53640926-AAD7-44D8-BBD7-CCE9431645EC}">
                            <a14:shadowObscured xmlns:a14="http://schemas.microsoft.com/office/drawing/2010/main"/>
                          </a:ext>
                        </a:extLst>
                      </pic:spPr>
                    </pic:pic>
                  </a:graphicData>
                </a:graphic>
              </wp:inline>
            </w:drawing>
          </w:r>
        </w:p>
      </w:tc>
      <w:tc>
        <w:tcPr>
          <w:tcW w:w="3333" w:type="pct"/>
        </w:tcPr>
        <w:p w:rsidR="004B636C" w:rsidRPr="00176E6B" w:rsidRDefault="004B636C" w:rsidP="00697D24">
          <w:pPr>
            <w:pStyle w:val="Encabezado"/>
            <w:spacing w:before="60" w:after="60"/>
            <w:jc w:val="right"/>
            <w:rPr>
              <w:rFonts w:asciiTheme="majorHAnsi" w:hAnsiTheme="majorHAnsi" w:cstheme="majorHAnsi"/>
              <w:b/>
              <w:color w:val="2F5496" w:themeColor="accent5" w:themeShade="BF"/>
              <w:sz w:val="24"/>
            </w:rPr>
          </w:pPr>
          <w:r w:rsidRPr="00176E6B">
            <w:rPr>
              <w:rFonts w:asciiTheme="majorHAnsi" w:hAnsiTheme="majorHAnsi" w:cstheme="majorHAnsi"/>
              <w:b/>
              <w:color w:val="7F7F7F" w:themeColor="text1" w:themeTint="80"/>
              <w:sz w:val="24"/>
            </w:rPr>
            <w:t>inclue.unileon</w:t>
          </w:r>
        </w:p>
        <w:p w:rsidR="004B636C" w:rsidRPr="00AF5348" w:rsidRDefault="004B636C" w:rsidP="00697D24">
          <w:pPr>
            <w:pStyle w:val="Encabezado"/>
            <w:spacing w:before="60" w:after="60"/>
            <w:jc w:val="right"/>
            <w:rPr>
              <w:rFonts w:asciiTheme="majorHAnsi" w:hAnsiTheme="majorHAnsi" w:cstheme="majorHAnsi"/>
              <w:color w:val="2F5496" w:themeColor="accent5" w:themeShade="BF"/>
              <w:sz w:val="28"/>
            </w:rPr>
          </w:pPr>
          <w:r w:rsidRPr="00AF5348">
            <w:rPr>
              <w:rFonts w:asciiTheme="majorHAnsi" w:hAnsiTheme="majorHAnsi" w:cstheme="majorHAnsi"/>
              <w:color w:val="2F5496" w:themeColor="accent5" w:themeShade="BF"/>
              <w:sz w:val="28"/>
            </w:rPr>
            <w:t>Construcción de una Europa inclusiva y democrática frente al auge del fascismo y la xenofobia</w:t>
          </w:r>
        </w:p>
        <w:p w:rsidR="004B636C" w:rsidRPr="00AF5348" w:rsidRDefault="004B636C" w:rsidP="00697D24">
          <w:pPr>
            <w:pStyle w:val="Encabezado"/>
            <w:spacing w:before="60" w:after="60"/>
            <w:jc w:val="right"/>
            <w:rPr>
              <w:rFonts w:asciiTheme="majorHAnsi" w:hAnsiTheme="majorHAnsi" w:cstheme="majorHAnsi"/>
              <w:sz w:val="24"/>
            </w:rPr>
          </w:pPr>
          <w:r w:rsidRPr="00AF5348">
            <w:rPr>
              <w:rFonts w:asciiTheme="majorHAnsi" w:hAnsiTheme="majorHAnsi" w:cstheme="majorHAnsi"/>
              <w:color w:val="7F7F7F" w:themeColor="text1" w:themeTint="80"/>
            </w:rPr>
            <w:t>Programa Jean Monnet de la Comisión Europea</w:t>
          </w:r>
        </w:p>
      </w:tc>
    </w:tr>
  </w:tbl>
  <w:p w:rsidR="004B636C" w:rsidRDefault="004B63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20B4D"/>
    <w:multiLevelType w:val="hybridMultilevel"/>
    <w:tmpl w:val="8FDA0F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AE"/>
    <w:rsid w:val="000C7558"/>
    <w:rsid w:val="00123CA4"/>
    <w:rsid w:val="00176E6B"/>
    <w:rsid w:val="001C6041"/>
    <w:rsid w:val="001D2E68"/>
    <w:rsid w:val="001F3445"/>
    <w:rsid w:val="00332CF0"/>
    <w:rsid w:val="004B636C"/>
    <w:rsid w:val="00507D22"/>
    <w:rsid w:val="005A2109"/>
    <w:rsid w:val="005D5A54"/>
    <w:rsid w:val="00620223"/>
    <w:rsid w:val="00672FB7"/>
    <w:rsid w:val="00697D24"/>
    <w:rsid w:val="006D4975"/>
    <w:rsid w:val="006D660F"/>
    <w:rsid w:val="007323DA"/>
    <w:rsid w:val="007B44A2"/>
    <w:rsid w:val="00864FCD"/>
    <w:rsid w:val="008C1A20"/>
    <w:rsid w:val="008C1FD4"/>
    <w:rsid w:val="009116AE"/>
    <w:rsid w:val="0097090B"/>
    <w:rsid w:val="0098381D"/>
    <w:rsid w:val="00A33738"/>
    <w:rsid w:val="00AD18BA"/>
    <w:rsid w:val="00AF5348"/>
    <w:rsid w:val="00B023F4"/>
    <w:rsid w:val="00B37D14"/>
    <w:rsid w:val="00BE68AE"/>
    <w:rsid w:val="00D747C1"/>
    <w:rsid w:val="00D862D6"/>
    <w:rsid w:val="00E220D8"/>
    <w:rsid w:val="00E37D22"/>
    <w:rsid w:val="00E9601F"/>
    <w:rsid w:val="00F249ED"/>
    <w:rsid w:val="00FA06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EAEE40-B0A4-4351-92B0-EE386DBF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63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636C"/>
  </w:style>
  <w:style w:type="paragraph" w:styleId="Piedepgina">
    <w:name w:val="footer"/>
    <w:basedOn w:val="Normal"/>
    <w:link w:val="PiedepginaCar"/>
    <w:uiPriority w:val="99"/>
    <w:unhideWhenUsed/>
    <w:rsid w:val="004B63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636C"/>
  </w:style>
  <w:style w:type="table" w:styleId="Tablaconcuadrcula">
    <w:name w:val="Table Grid"/>
    <w:basedOn w:val="Tablanormal"/>
    <w:uiPriority w:val="39"/>
    <w:rsid w:val="004B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E960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601F"/>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AF5348"/>
    <w:pPr>
      <w:ind w:left="720"/>
      <w:contextualSpacing/>
    </w:pPr>
  </w:style>
  <w:style w:type="character" w:styleId="Hipervnculo">
    <w:name w:val="Hyperlink"/>
    <w:basedOn w:val="Fuentedeprrafopredeter"/>
    <w:uiPriority w:val="99"/>
    <w:unhideWhenUsed/>
    <w:rsid w:val="00176E6B"/>
    <w:rPr>
      <w:color w:val="0563C1" w:themeColor="hyperlink"/>
      <w:u w:val="single"/>
    </w:rPr>
  </w:style>
  <w:style w:type="character" w:styleId="Hipervnculovisitado">
    <w:name w:val="FollowedHyperlink"/>
    <w:basedOn w:val="Fuentedeprrafopredeter"/>
    <w:uiPriority w:val="99"/>
    <w:semiHidden/>
    <w:unhideWhenUsed/>
    <w:rsid w:val="00176E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337760">
      <w:bodyDiv w:val="1"/>
      <w:marLeft w:val="0"/>
      <w:marRight w:val="0"/>
      <w:marTop w:val="0"/>
      <w:marBottom w:val="0"/>
      <w:divBdr>
        <w:top w:val="none" w:sz="0" w:space="0" w:color="auto"/>
        <w:left w:val="none" w:sz="0" w:space="0" w:color="auto"/>
        <w:bottom w:val="none" w:sz="0" w:space="0" w:color="auto"/>
        <w:right w:val="none" w:sz="0" w:space="0" w:color="auto"/>
      </w:divBdr>
    </w:div>
    <w:div w:id="1804232483">
      <w:bodyDiv w:val="1"/>
      <w:marLeft w:val="0"/>
      <w:marRight w:val="0"/>
      <w:marTop w:val="0"/>
      <w:marBottom w:val="0"/>
      <w:divBdr>
        <w:top w:val="none" w:sz="0" w:space="0" w:color="auto"/>
        <w:left w:val="none" w:sz="0" w:space="0" w:color="auto"/>
        <w:bottom w:val="none" w:sz="0" w:space="0" w:color="auto"/>
        <w:right w:val="none" w:sz="0" w:space="0" w:color="auto"/>
      </w:divBdr>
      <w:divsChild>
        <w:div w:id="1995067787">
          <w:marLeft w:val="0"/>
          <w:marRight w:val="0"/>
          <w:marTop w:val="0"/>
          <w:marBottom w:val="0"/>
          <w:divBdr>
            <w:top w:val="none" w:sz="0" w:space="0" w:color="auto"/>
            <w:left w:val="none" w:sz="0" w:space="0" w:color="auto"/>
            <w:bottom w:val="none" w:sz="0" w:space="0" w:color="auto"/>
            <w:right w:val="none" w:sz="0" w:space="0" w:color="auto"/>
          </w:divBdr>
        </w:div>
        <w:div w:id="1732801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329</Words>
  <Characters>1811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Díaz Nafría</dc:creator>
  <cp:keywords/>
  <dc:description/>
  <cp:lastModifiedBy>USUARIO</cp:lastModifiedBy>
  <cp:revision>6</cp:revision>
  <dcterms:created xsi:type="dcterms:W3CDTF">2020-11-06T12:29:00Z</dcterms:created>
  <dcterms:modified xsi:type="dcterms:W3CDTF">2021-01-15T17:42:00Z</dcterms:modified>
</cp:coreProperties>
</file>